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Retreat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13, 2022;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at Valdez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Frank Coyne | Lead Partner, Denver Green School | School Leader Representative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Jessica Buckley | Principal, Escuela Valdez Elementary | School Leader Representative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Molly Yost | Senior Director of Early Childhood Initiatives, Mile High United Way | Community Representative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Sharmila Mann | Director of Policy, Education Commission of the States | Community Representative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Miguel Gonzalez | Director of School, Embark Education | Community Representative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Shields | Senior Team Lead, Cole Arts and Science Academy | Teacher Representative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rPr/>
      </w:pPr>
      <w:r w:rsidDel="00000000" w:rsidR="00000000" w:rsidRPr="00000000">
        <w:rPr>
          <w:u w:val="single"/>
          <w:rtl w:val="0"/>
        </w:rPr>
        <w:t xml:space="preserve">Other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Bailey Holyfield  | Executive Director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Reilly Pharo Carter | Consultant and Community Member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Kristopher Blythe | Senior Director of Zone Operations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and approve minutes from 3.9.22 Board Meeting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 as presented</w:t>
      </w:r>
      <w:r w:rsidDel="00000000" w:rsidR="00000000" w:rsidRPr="00000000">
        <w:rPr>
          <w:color w:val="282828"/>
          <w:rtl w:val="0"/>
        </w:rPr>
        <w:t xml:space="preserve">: Tyler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Jessica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In favor: All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Against: None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Governance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Academics and Accountability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3"/>
        </w:numPr>
        <w:ind w:left="216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Kris gave an overview of READ Act data from the Fall window to the Mid-year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Innovation Zone Ecosystem and Advocacy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3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Reilly gave an update on the status of Senate Bill 22-197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reviewed the Board of Education’s decision on the Executive Limitations proposal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School Updates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3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Denver Green School Lead Partner Hiring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3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gave an overview of the community process to review and recommend candidates for the DGS Lead Partner position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3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Motion to approve Jessica Krichbaum as the recommended DGS Lead Partner candidate: Sharmila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3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In favor: All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3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Against: None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3"/>
        </w:numPr>
        <w:ind w:left="288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282828"/>
          <w:rtl w:val="0"/>
        </w:rPr>
        <w:t xml:space="preserve">Bailey and Brandon highlighted the prospective end-of-year teacher celebration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3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color w:val="282828"/>
          <w:rtl w:val="0"/>
        </w:rPr>
        <w:t xml:space="preserve">Bailey previewed the budget for 22-23, as well as a forecast for 23-24</w:t>
      </w:r>
    </w:p>
    <w:p w:rsidR="00000000" w:rsidDel="00000000" w:rsidP="00000000" w:rsidRDefault="00000000" w:rsidRPr="00000000" w14:paraId="0000002F">
      <w:pPr>
        <w:pageBreakBefore w:val="0"/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5:39 p.m.</w:t>
      </w:r>
    </w:p>
    <w:p w:rsidR="00000000" w:rsidDel="00000000" w:rsidP="00000000" w:rsidRDefault="00000000" w:rsidRPr="00000000" w14:paraId="00000030">
      <w:pPr>
        <w:pageBreakBefore w:val="0"/>
        <w:widowControl w:val="0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1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