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114300" distT="114300" distL="114300" distR="114300">
            <wp:extent cx="1547562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562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LLN Board Meeting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10, 2023; 3:30 PM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held at 1390 Lawrence Street, Denver, CO 80204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left"/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Frank Coyne | Community Representative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Prudence Daniels | Lead Partner, Denver Green School Southeast| School Leader Representative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AJ Keglovits | Assistant Principal, C3 Elementary | School Leader Representative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JH Sava | 2nd Grade Teacher, C3 Elementary | Teacher Representative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Rachel Van Brocklin | Director of Communications, Colorado Succeeds | Community Representative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Molly Yost | Community Representative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Tyler Mounsey | Director of Legislative Relations, Colorado Bar Association | Community Representative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Rebecca Grant Zarret | Consultant and Coach; Lecturer, University of Colorado Denver | Community Representative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rPr/>
      </w:pPr>
      <w:r w:rsidDel="00000000" w:rsidR="00000000" w:rsidRPr="00000000">
        <w:rPr>
          <w:u w:val="single"/>
          <w:rtl w:val="0"/>
        </w:rPr>
        <w:t xml:space="preserve">Other 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Bailey Holyfield  | Executive Director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Kristopher Blythe | Senior Director of Innovation Initiatives and Programs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u w:val="single"/>
          <w:rtl w:val="0"/>
        </w:rPr>
        <w:t xml:space="preserve">Members Not 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Sharmila Mann | Consultant | Community Representative</w:t>
      </w:r>
    </w:p>
    <w:p w:rsidR="00000000" w:rsidDel="00000000" w:rsidP="00000000" w:rsidRDefault="00000000" w:rsidRPr="00000000" w14:paraId="00000018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Review and approve minutes from 9.12.23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to approve: Tyler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Second: JH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In favor: All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Against: None</w:t>
      </w:r>
    </w:p>
    <w:p w:rsidR="00000000" w:rsidDel="00000000" w:rsidP="00000000" w:rsidRDefault="00000000" w:rsidRPr="00000000" w14:paraId="0000001F">
      <w:pPr>
        <w:widowControl w:val="0"/>
        <w:ind w:left="1440" w:firstLine="0"/>
        <w:rPr>
          <w:i w:val="1"/>
          <w:color w:val="282828"/>
        </w:rPr>
      </w:pPr>
      <w:r w:rsidDel="00000000" w:rsidR="00000000" w:rsidRPr="00000000">
        <w:rPr>
          <w:i w:val="1"/>
          <w:color w:val="282828"/>
          <w:rtl w:val="0"/>
        </w:rPr>
        <w:t xml:space="preserve">Motion approved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Governance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Kris reviewed the LLN dashboard, and gave beginning-of-year updates and takeaways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Kris detailed the Fall Adjustment enrollment numbers across the LLN, and discussed the financial and in-school impact of increased enrollment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The Board reviewed proposed amendments to the LLN By-Laws and Conflict of Interest Policy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Motion to address proposed amendments, including the following actions: </w:t>
      </w:r>
      <w:r w:rsidDel="00000000" w:rsidR="00000000" w:rsidRPr="00000000">
        <w:rPr>
          <w:i w:val="1"/>
          <w:color w:val="282828"/>
          <w:rtl w:val="0"/>
        </w:rPr>
        <w:t xml:space="preserve">accept the first proposal related to PSA language; reject the second proposal related to removing “confidentially” from the grievance process; reject the proposed reference to DPS processes in the grievance policy; and strike the school and teacher leader recusal language from the Conflict of Interest policy</w:t>
      </w:r>
      <w:r w:rsidDel="00000000" w:rsidR="00000000" w:rsidRPr="00000000">
        <w:rPr>
          <w:color w:val="282828"/>
          <w:rtl w:val="0"/>
        </w:rPr>
        <w:t xml:space="preserve">: Tyler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Second: Molly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In favor: All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Against: None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Motion passed - updated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By-Laws</w:t>
        </w:r>
      </w:hyperlink>
      <w:r w:rsidDel="00000000" w:rsidR="00000000" w:rsidRPr="00000000">
        <w:rPr>
          <w:color w:val="282828"/>
          <w:rtl w:val="0"/>
        </w:rPr>
        <w:t xml:space="preserve"> and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Conflict of Interest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ED Updates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ind w:left="1440" w:hanging="360"/>
      </w:pPr>
      <w:r w:rsidDel="00000000" w:rsidR="00000000" w:rsidRPr="00000000">
        <w:rPr>
          <w:color w:val="282828"/>
          <w:rtl w:val="0"/>
        </w:rPr>
        <w:t xml:space="preserve">Bailey gave an update on the October TAC meeting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previewed the audit findings - a clean report is anticipated based on preliminary discussions with the auditors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The Board reviewed September financials, inclusive of bank statements and reconciliation reports</w:t>
      </w:r>
    </w:p>
    <w:p w:rsidR="00000000" w:rsidDel="00000000" w:rsidP="00000000" w:rsidRDefault="00000000" w:rsidRPr="00000000" w14:paraId="0000002D">
      <w:pPr>
        <w:widowControl w:val="0"/>
        <w:rPr>
          <w:color w:val="282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720" w:firstLine="0"/>
        <w:rPr>
          <w:b w:val="1"/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Meeting adjourned at 4:42 p.m. </w:t>
      </w:r>
    </w:p>
    <w:p w:rsidR="00000000" w:rsidDel="00000000" w:rsidP="00000000" w:rsidRDefault="00000000" w:rsidRPr="00000000" w14:paraId="0000002F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xO8ApWk2O9wOdOGJ4nRKfh25W-HgbGkl/edit?usp=drive_link&amp;ouid=116061374981196331009&amp;rtpof=true&amp;sd=true" TargetMode="External"/><Relationship Id="rId8" Type="http://schemas.openxmlformats.org/officeDocument/2006/relationships/hyperlink" Target="https://docs.google.com/document/d/1rQ0zUwy0uxVvLaAGKDkX8uxs63R6T1Pl/edit?usp=drive_link&amp;ouid=11606137498119633100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